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964B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0575C">
        <w:rPr>
          <w:rFonts w:ascii="Arial" w:hAnsi="Arial" w:cs="Arial"/>
          <w:b/>
          <w:color w:val="auto"/>
          <w:sz w:val="24"/>
          <w:szCs w:val="24"/>
        </w:rPr>
        <w:t>I</w:t>
      </w:r>
      <w:r w:rsidR="001F47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E52B21">
        <w:rPr>
          <w:rFonts w:ascii="Arial" w:hAnsi="Arial" w:cs="Arial"/>
          <w:b/>
          <w:color w:val="auto"/>
          <w:sz w:val="24"/>
          <w:szCs w:val="24"/>
        </w:rPr>
        <w:t>3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106809">
            <w:pPr>
              <w:spacing w:after="0" w:line="240" w:lineRule="auto"/>
            </w:pPr>
            <w:r>
              <w:rPr>
                <w:rFonts w:ascii="Arial" w:hAnsi="Arial" w:cs="Calibri"/>
              </w:rPr>
              <w:t>8</w:t>
            </w:r>
            <w:r w:rsidR="00D57B48">
              <w:rPr>
                <w:rFonts w:ascii="Arial" w:hAnsi="Arial" w:cs="Calibri"/>
              </w:rPr>
              <w:t>8</w:t>
            </w:r>
            <w:r w:rsidR="003903AE">
              <w:rPr>
                <w:rFonts w:ascii="Arial" w:hAnsi="Arial" w:cs="Calibri"/>
              </w:rPr>
              <w:t>,</w:t>
            </w:r>
            <w:r w:rsidR="00D57B48">
              <w:rPr>
                <w:rFonts w:ascii="Arial" w:hAnsi="Arial" w:cs="Calibri"/>
              </w:rPr>
              <w:t>89</w:t>
            </w:r>
            <w:r w:rsidR="00240517" w:rsidRPr="00240517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240517" w:rsidRPr="00121C4A" w:rsidRDefault="00D57B48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75,22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240517" w:rsidRPr="00121C4A" w:rsidRDefault="00A06470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E52B21">
              <w:rPr>
                <w:rFonts w:ascii="Arial" w:hAnsi="Arial" w:cs="Arial"/>
                <w:color w:val="000000" w:themeColor="text1"/>
                <w:sz w:val="18"/>
                <w:szCs w:val="18"/>
              </w:rPr>
              <w:t>9,89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  <w:p w:rsidR="00740945" w:rsidRPr="00121C4A" w:rsidRDefault="00E52B21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76,48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  <w:tc>
          <w:tcPr>
            <w:tcW w:w="2052" w:type="dxa"/>
            <w:shd w:val="clear" w:color="auto" w:fill="auto"/>
          </w:tcPr>
          <w:p w:rsidR="00740945" w:rsidRPr="00121C4A" w:rsidRDefault="0024051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1. </w:t>
            </w:r>
            <w:r w:rsidR="00E52B21">
              <w:rPr>
                <w:rFonts w:ascii="Arial" w:hAnsi="Arial" w:cs="Arial"/>
                <w:color w:val="000000" w:themeColor="text1"/>
                <w:sz w:val="18"/>
                <w:szCs w:val="20"/>
              </w:rPr>
              <w:t>88,12</w:t>
            </w: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Studium 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sektora publicznego - wartość docelo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D57B48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D57B4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D57B48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D57B4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57B48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1191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13,1578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</w:tc>
        <w:tc>
          <w:tcPr>
            <w:tcW w:w="3541" w:type="dxa"/>
            <w:shd w:val="clear" w:color="auto" w:fill="auto"/>
          </w:tcPr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>Status: analizowanie</w:t>
            </w:r>
          </w:p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 w:rsidRPr="003903AE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903AE">
              <w:rPr>
                <w:rFonts w:ascii="Arial" w:hAnsi="Arial" w:cs="Arial"/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polityki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1" w:name="__DdeLink__7751_2756344845"/>
            <w:bookmarkEnd w:id="1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2" w:name="__DdeLink__7751_27563448451"/>
            <w:bookmarkEnd w:id="2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przekroczenia kosztów zawartych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r w:rsidR="00704BD8"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bookmarkStart w:id="3" w:name="_GoBack"/>
            <w:bookmarkEnd w:id="3"/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4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4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106809"/>
    <w:rsid w:val="00121C4A"/>
    <w:rsid w:val="001C2C48"/>
    <w:rsid w:val="001F47BC"/>
    <w:rsid w:val="002009EA"/>
    <w:rsid w:val="0020575C"/>
    <w:rsid w:val="00207C90"/>
    <w:rsid w:val="00240517"/>
    <w:rsid w:val="00302950"/>
    <w:rsid w:val="003903AE"/>
    <w:rsid w:val="003D0D44"/>
    <w:rsid w:val="005B0B32"/>
    <w:rsid w:val="005E691F"/>
    <w:rsid w:val="00662030"/>
    <w:rsid w:val="0068468F"/>
    <w:rsid w:val="00704BD8"/>
    <w:rsid w:val="00740945"/>
    <w:rsid w:val="00851522"/>
    <w:rsid w:val="00964B33"/>
    <w:rsid w:val="009F33E1"/>
    <w:rsid w:val="00A06470"/>
    <w:rsid w:val="00A13DC6"/>
    <w:rsid w:val="00AB6EF5"/>
    <w:rsid w:val="00B77F6E"/>
    <w:rsid w:val="00C63262"/>
    <w:rsid w:val="00D365E2"/>
    <w:rsid w:val="00D57B48"/>
    <w:rsid w:val="00E52B21"/>
    <w:rsid w:val="00F9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ECF8-4322-49E0-B09C-6285BF5F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1669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3</cp:revision>
  <dcterms:created xsi:type="dcterms:W3CDTF">2023-04-13T06:49:00Z</dcterms:created>
  <dcterms:modified xsi:type="dcterms:W3CDTF">2023-04-13T06:53:00Z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